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附件1</w:t>
      </w:r>
    </w:p>
    <w:p>
      <w:pPr>
        <w:tabs>
          <w:tab w:val="left" w:pos="723"/>
          <w:tab w:val="center" w:pos="4649"/>
        </w:tabs>
        <w:spacing w:line="680" w:lineRule="exact"/>
        <w:ind w:right="-335"/>
        <w:jc w:val="left"/>
        <w:rPr>
          <w:rStyle w:val="11"/>
          <w:rFonts w:eastAsia="方正小标宋简体"/>
          <w:kern w:val="0"/>
          <w:sz w:val="36"/>
          <w:szCs w:val="36"/>
          <w:highlight w:val="none"/>
        </w:rPr>
      </w:pP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</w:rPr>
        <w:tab/>
      </w: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</w:rPr>
        <w:tab/>
      </w:r>
      <w:r>
        <w:rPr>
          <w:rStyle w:val="11"/>
          <w:rFonts w:eastAsia="方正小标宋简体"/>
          <w:b/>
          <w:bCs/>
          <w:kern w:val="0"/>
          <w:sz w:val="36"/>
          <w:szCs w:val="36"/>
          <w:highlight w:val="none"/>
        </w:rPr>
        <w:t>成都中医药大学</w:t>
      </w: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</w:rPr>
        <w:t>师生</w:t>
      </w: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  <w:lang w:val="en-US" w:eastAsia="zh-CN"/>
        </w:rPr>
        <w:t>及校友</w:t>
      </w: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</w:rPr>
        <w:t>揭棋</w:t>
      </w:r>
      <w:r>
        <w:rPr>
          <w:rStyle w:val="11"/>
          <w:rFonts w:hint="eastAsia" w:eastAsia="方正小标宋简体"/>
          <w:b/>
          <w:bCs/>
          <w:kern w:val="0"/>
          <w:sz w:val="36"/>
          <w:szCs w:val="36"/>
          <w:highlight w:val="none"/>
          <w:lang w:val="en-US" w:eastAsia="zh-CN"/>
        </w:rPr>
        <w:t>比赛</w:t>
      </w:r>
      <w:r>
        <w:rPr>
          <w:rStyle w:val="11"/>
          <w:rFonts w:eastAsia="方正小标宋简体"/>
          <w:b/>
          <w:bCs/>
          <w:kern w:val="0"/>
          <w:sz w:val="36"/>
          <w:szCs w:val="36"/>
          <w:highlight w:val="none"/>
        </w:rPr>
        <w:t>报名表</w:t>
      </w:r>
    </w:p>
    <w:p>
      <w:pPr>
        <w:spacing w:line="576" w:lineRule="exact"/>
        <w:ind w:right="-333"/>
        <w:rPr>
          <w:rStyle w:val="11"/>
          <w:kern w:val="0"/>
          <w:sz w:val="28"/>
          <w:szCs w:val="28"/>
          <w:highlight w:val="none"/>
        </w:rPr>
      </w:pPr>
      <w:r>
        <w:rPr>
          <w:rFonts w:hint="eastAsia" w:eastAsia="方正黑体简体" w:cs="Times New Roman"/>
          <w:sz w:val="32"/>
          <w:szCs w:val="32"/>
          <w:highlight w:val="none"/>
        </w:rPr>
        <w:t>1.教师报名表</w:t>
      </w: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</w:pPr>
      <w:r>
        <w:rPr>
          <w:rFonts w:hint="eastAsia" w:eastAsia="方正黑体简体" w:cs="Times New Roman"/>
          <w:sz w:val="32"/>
          <w:szCs w:val="32"/>
          <w:highlight w:val="none"/>
        </w:rPr>
        <w:t xml:space="preserve">分工会名称：                </w:t>
      </w:r>
      <w:r>
        <w:rPr>
          <w:rFonts w:hint="eastAsia" w:eastAsia="方正黑体简体" w:cs="Times New Roman"/>
          <w:sz w:val="32"/>
          <w:szCs w:val="32"/>
          <w:highlight w:val="none"/>
          <w:lang w:val="en-US" w:eastAsia="zh-CN"/>
        </w:rPr>
        <w:t>负责人及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>联系方式：</w:t>
      </w:r>
    </w:p>
    <w:tbl>
      <w:tblPr>
        <w:tblStyle w:val="7"/>
        <w:tblW w:w="98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2162"/>
        <w:gridCol w:w="1295"/>
        <w:gridCol w:w="2592"/>
        <w:gridCol w:w="1544"/>
        <w:gridCol w:w="15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姓名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320"/>
              <w:jc w:val="left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性别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 w:eastAsia="zh-CN"/>
              </w:rPr>
              <w:t>分</w:t>
            </w: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工会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color w:val="000000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工号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联系方式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highlight w:val="none"/>
                <w:lang w:val="en-US"/>
              </w:rPr>
              <w:t>4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</w:tbl>
    <w:p>
      <w:pPr>
        <w:pStyle w:val="21"/>
        <w:ind w:left="15"/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请各参加比赛的</w:t>
      </w:r>
      <w:r>
        <w:rPr>
          <w:rFonts w:hint="eastAsia"/>
          <w:color w:val="000000"/>
          <w:sz w:val="24"/>
          <w:highlight w:val="none"/>
          <w:lang w:val="en-US"/>
        </w:rPr>
        <w:t>教师</w:t>
      </w:r>
      <w:r>
        <w:rPr>
          <w:color w:val="000000"/>
          <w:sz w:val="24"/>
          <w:highlight w:val="none"/>
        </w:rPr>
        <w:t>，用</w:t>
      </w:r>
      <w:r>
        <w:rPr>
          <w:rFonts w:hint="eastAsia" w:ascii="Times New Roman" w:hAnsi="Times New Roman" w:cs="Times New Roman"/>
          <w:color w:val="000000"/>
          <w:sz w:val="26"/>
          <w:szCs w:val="26"/>
          <w:highlight w:val="none"/>
          <w:lang w:val="en-US" w:bidi="en-US"/>
        </w:rPr>
        <w:t>excel</w:t>
      </w:r>
      <w:r>
        <w:rPr>
          <w:color w:val="000000"/>
          <w:sz w:val="24"/>
          <w:highlight w:val="none"/>
        </w:rPr>
        <w:t>按上表格式编制后发往报名信箱。</w:t>
      </w:r>
    </w:p>
    <w:p>
      <w:pPr>
        <w:pStyle w:val="21"/>
        <w:ind w:left="15"/>
        <w:jc w:val="left"/>
        <w:rPr>
          <w:color w:val="000000"/>
          <w:sz w:val="24"/>
          <w:highlight w:val="none"/>
        </w:rPr>
      </w:pPr>
    </w:p>
    <w:p>
      <w:pPr>
        <w:pStyle w:val="21"/>
        <w:ind w:left="15"/>
        <w:jc w:val="left"/>
        <w:rPr>
          <w:color w:val="000000"/>
          <w:sz w:val="24"/>
          <w:highlight w:val="none"/>
        </w:rPr>
      </w:pPr>
    </w:p>
    <w:p>
      <w:pPr>
        <w:pStyle w:val="19"/>
        <w:ind w:firstLine="0"/>
        <w:jc w:val="left"/>
        <w:rPr>
          <w:rFonts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>2.学生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 w:bidi="ar-SA"/>
        </w:rPr>
        <w:t>、校友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>报名表</w:t>
      </w:r>
    </w:p>
    <w:p>
      <w:pPr>
        <w:pStyle w:val="19"/>
        <w:ind w:firstLine="0"/>
        <w:jc w:val="left"/>
        <w:rPr>
          <w:rFonts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>负责人：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ab/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bidi="ar-SA"/>
        </w:rPr>
        <w:t>联系方式：</w:t>
      </w:r>
    </w:p>
    <w:tbl>
      <w:tblPr>
        <w:tblStyle w:val="7"/>
        <w:tblW w:w="98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1671"/>
        <w:gridCol w:w="1221"/>
        <w:gridCol w:w="2122"/>
        <w:gridCol w:w="1628"/>
        <w:gridCol w:w="24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姓名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32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性别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val="en-US"/>
              </w:rPr>
              <w:t>学院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0"/>
              <w:jc w:val="center"/>
              <w:rPr>
                <w:b/>
                <w:bCs/>
                <w:color w:val="000000"/>
                <w:highlight w:val="none"/>
                <w:lang w:val="en-US"/>
              </w:rPr>
            </w:pPr>
            <w:r>
              <w:rPr>
                <w:b/>
                <w:bCs/>
                <w:color w:val="000000"/>
                <w:highlight w:val="none"/>
              </w:rPr>
              <w:t>学号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0"/>
              <w:jc w:val="center"/>
              <w:rPr>
                <w:rFonts w:hint="default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人员类别       （学生、校友）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after="0"/>
              <w:ind w:firstLine="36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highlight w:val="none"/>
                <w:lang w:val="en-US"/>
              </w:rPr>
              <w:t>4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rPr>
                <w:sz w:val="10"/>
                <w:szCs w:val="10"/>
                <w:highlight w:val="none"/>
              </w:rPr>
            </w:pPr>
          </w:p>
        </w:tc>
      </w:tr>
    </w:tbl>
    <w:p>
      <w:pPr>
        <w:pStyle w:val="21"/>
        <w:ind w:left="15"/>
        <w:jc w:val="left"/>
        <w:rPr>
          <w:highlight w:val="none"/>
        </w:rPr>
      </w:pPr>
      <w:r>
        <w:rPr>
          <w:color w:val="000000"/>
          <w:sz w:val="24"/>
          <w:highlight w:val="none"/>
        </w:rPr>
        <w:t>请各参加比赛的学院（部），用</w:t>
      </w:r>
      <w:r>
        <w:rPr>
          <w:rFonts w:hint="eastAsia" w:ascii="Times New Roman" w:hAnsi="Times New Roman" w:cs="Times New Roman"/>
          <w:color w:val="000000"/>
          <w:sz w:val="26"/>
          <w:szCs w:val="26"/>
          <w:highlight w:val="none"/>
          <w:lang w:val="en-US" w:bidi="en-US"/>
        </w:rPr>
        <w:t>excel</w:t>
      </w:r>
      <w:r>
        <w:rPr>
          <w:color w:val="000000"/>
          <w:sz w:val="24"/>
          <w:highlight w:val="none"/>
        </w:rPr>
        <w:t>按上表格式编制后发往报名信箱。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eastAsia="方正仿宋简体" w:cs="Times New Roman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附件2</w:t>
      </w:r>
    </w:p>
    <w:p>
      <w:pPr>
        <w:spacing w:line="680" w:lineRule="exact"/>
        <w:jc w:val="center"/>
        <w:rPr>
          <w:rStyle w:val="11"/>
          <w:rFonts w:eastAsia="方正小标宋简体" w:cs="Times New Roman"/>
          <w:b/>
          <w:bCs/>
          <w:kern w:val="0"/>
          <w:sz w:val="36"/>
          <w:szCs w:val="36"/>
          <w:highlight w:val="none"/>
        </w:rPr>
      </w:pPr>
      <w:r>
        <w:rPr>
          <w:rStyle w:val="11"/>
          <w:rFonts w:hint="eastAsia" w:eastAsia="方正小标宋简体" w:cs="Times New Roman"/>
          <w:b/>
          <w:bCs/>
          <w:kern w:val="0"/>
          <w:sz w:val="36"/>
          <w:szCs w:val="36"/>
          <w:highlight w:val="none"/>
        </w:rPr>
        <w:t>揭棋</w:t>
      </w:r>
      <w:r>
        <w:rPr>
          <w:rStyle w:val="11"/>
          <w:rFonts w:eastAsia="方正小标宋简体" w:cs="Times New Roman"/>
          <w:b/>
          <w:bCs/>
          <w:kern w:val="0"/>
          <w:sz w:val="36"/>
          <w:szCs w:val="36"/>
          <w:highlight w:val="none"/>
        </w:rPr>
        <w:t>比赛规程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eastAsia="方正黑体简体" w:cs="Times New Roman"/>
          <w:sz w:val="32"/>
          <w:szCs w:val="32"/>
          <w:highlight w:val="none"/>
        </w:rPr>
      </w:pPr>
      <w:r>
        <w:rPr>
          <w:rFonts w:hint="eastAsia" w:eastAsia="方正黑体简体" w:cs="Times New Roman"/>
          <w:sz w:val="32"/>
          <w:szCs w:val="32"/>
          <w:highlight w:val="none"/>
        </w:rPr>
        <w:t>一、比赛规则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1. 棋盘与棋子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①棋盘：与中国象棋棋盘完全相同，分为红黑两方，中间有楚河汉界。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②棋子：红、黑双方各有15个棋子，除帅（将）明摆在九宫原位外，其余棋子字面朝下，洗乱后按象棋原始位置摆放，这些称为暗子。仅将/帅、士/仕、象/相、车/俥、马/馬、炮/砲、兵/卒的背面统一标识。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b/>
          <w:bCs/>
          <w:kern w:val="0"/>
          <w:sz w:val="32"/>
          <w:szCs w:val="32"/>
          <w:highlight w:val="none"/>
          <w:u w:val="single"/>
        </w:rPr>
        <w:t>双方各翻一子确定红黑方（或由裁判抽签分配）</w:t>
      </w: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2. 翻子规则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①首步翻子：红方第一步必须移动或翻动己方暗子，翻子后亮明身份，后续按该棋子规则行棋。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②翻子限制：每次移动可选择走子或翻动己方暗子（翻动后不可移动，需下一回合再操作）。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3.行棋规则</w:t>
      </w:r>
    </w:p>
    <w:p>
      <w:pPr>
        <w:keepNext w:val="0"/>
        <w:keepLines w:val="0"/>
        <w:pageBreakBefore w:val="0"/>
        <w:widowControl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①暗子走法：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暗兵（卒）：第一步只能向前移动一格并揭开，移动范围内可吃对方棋子，第二步按揭开后的明子走法。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暗炮：第一步可水平或垂直移动并揭开，吃子时必须跳过一个棋子才可吃掉对方的子，第二步按揭开后的明子走法。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暗车：第一步可水平或垂直移动并揭开，能直接吃掉对方受其攻击范围内的任何棋子，第二步按揭开后的明子走法。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暗马：第一步按日字形沿对角线移动并揭开，移动中不能穿越障碍，即蹩马腿，第二步按揭开后的明子走法。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暗象：第一步按田字形沿对角线移动并揭开，移动中不能穿越中心障碍，即塞象眼，第二步按揭开后的明子走法。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暗士：第一步限九宫内沿斜线移动并揭开，第二步按揭开后的明子走法。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②明子走法：与中国象棋的走法相同，兵（卒）过河后可前进或左右移动一步，但不能后退；炮与车行走规则相同，吃子时需跳过一个棋子；车可水平或垂直移动到任意无阻碍位置；马按日字形沿对角线移动，蹩马腿时不能移动；象按田字形沿对角线移动，塞象眼时不能穿越；士只能在九宫内沿对角线移动一格；帅和将限在九宫内水平或垂直移动一格，直线无障碍时，帅、将可互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③吃子规则：暗子可以吃对方的暗子或明子，明子也可以吃对方的明子或暗子。当吃掉对方的暗子时，吃子方有权查看被吃的暗子是什么，而被吃方无权查看；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将（帅）＞士＞象＞车＞马＞炮＞兵（卒），同级可互吃。例外：兵（卒）可吃将（帅）。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兵/卒未过河前不可左右移动，过河后规则同象棋。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4. 特殊规则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①照面规则：双方明“将/帅”在无遮挡情况下直接照面，由移动方获胜。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②翻子为将/帅：若翻开的暗子为“将/帅”，需立即置于原始位置（九宫中心），不可移动至其他位置。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5. 时间控制规则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  <w:u w:val="singl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  <w:u w:val="single"/>
        </w:rPr>
        <w:t xml:space="preserve">每步限时1分钟，超时3次判负。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使用棋钟或电子计时器辅助记录。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6. 胜负判定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①将死对方将（帅）或对方认输；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②对方超时；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③重复行棋三次（由裁判裁定）；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④揭子后形成必杀局面（如亮明将帅且无路可逃）；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⑤若双方均无法取胜，由裁判判定和棋或加赛。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违规处理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①移动违规（如暗子越格、明子走法错误）：首次警告，第二次判负。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②悔棋：一经发现直接判负。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③干扰对手：视情节轻重给予警告或取消资格。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b/>
          <w:bCs/>
          <w:kern w:val="0"/>
          <w:sz w:val="32"/>
          <w:szCs w:val="32"/>
          <w:highlight w:val="none"/>
        </w:rPr>
      </w:pPr>
      <w:r>
        <w:rPr>
          <w:rFonts w:hint="eastAsia" w:eastAsia="方正黑体简体" w:cs="Times New Roman"/>
          <w:sz w:val="32"/>
          <w:szCs w:val="32"/>
          <w:highlight w:val="none"/>
        </w:rPr>
        <w:t>二、比赛流程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1. 赛前准备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 参赛者签到、抽签分组，裁判宣读规则。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②每桌配备棋盘、棋子、计时器（若采用限时制）。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2. 赛制安排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初赛：单局淘汰制，每局限时20分钟，超时未分胜负则由裁判判定。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复赛/半决赛：三局两胜制，每局限时30分钟。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决赛：五局三胜制，每局45分钟，启用计时器（每方15分钟包干）。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3. 比赛流程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①选手入场后核对身份，猜拳决定红黑方。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②裁判监督开局翻子及行棋，记录胜负结果。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③每轮结束后胜方晋级，败方淘汰。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eastAsia="方正黑体简体" w:cs="Times New Roman"/>
          <w:sz w:val="32"/>
          <w:szCs w:val="32"/>
          <w:highlight w:val="none"/>
        </w:rPr>
      </w:pPr>
      <w:r>
        <w:rPr>
          <w:rFonts w:hint="eastAsia" w:eastAsia="方正黑体简体" w:cs="Times New Roman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1. 参赛者需提前10分钟到场，迟到5分钟视为弃权。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2. 行棋落子后不可悔棋，违规者警告，严重者判负。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 xml:space="preserve">3. 禁止干扰对手或使用电子设备辅助，违者取消资格。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eastAsia="仿宋"/>
          <w:kern w:val="0"/>
          <w:sz w:val="32"/>
          <w:szCs w:val="32"/>
          <w:highlight w:val="none"/>
        </w:rPr>
      </w:pPr>
      <w:r>
        <w:rPr>
          <w:rStyle w:val="11"/>
          <w:rFonts w:hint="eastAsia" w:eastAsia="仿宋"/>
          <w:kern w:val="0"/>
          <w:sz w:val="32"/>
          <w:szCs w:val="32"/>
          <w:highlight w:val="none"/>
        </w:rPr>
        <w:t>4. 争议判罚由主裁判最终裁定，选手须服从裁判决定。</w:t>
      </w:r>
    </w:p>
    <w:p>
      <w:pPr>
        <w:spacing w:line="576" w:lineRule="exact"/>
        <w:rPr>
          <w:rStyle w:val="11"/>
          <w:rFonts w:eastAsia="仿宋"/>
          <w:kern w:val="0"/>
          <w:sz w:val="32"/>
          <w:szCs w:val="32"/>
          <w:highlight w:val="none"/>
        </w:rPr>
      </w:pPr>
    </w:p>
    <w:p>
      <w:pPr>
        <w:spacing w:line="576" w:lineRule="exact"/>
        <w:rPr>
          <w:rStyle w:val="11"/>
          <w:rFonts w:eastAsia="仿宋"/>
          <w:kern w:val="0"/>
          <w:sz w:val="32"/>
          <w:szCs w:val="32"/>
          <w:highlight w:val="none"/>
        </w:rPr>
      </w:pPr>
    </w:p>
    <w:p>
      <w:pPr>
        <w:spacing w:line="576" w:lineRule="exact"/>
        <w:rPr>
          <w:rStyle w:val="11"/>
          <w:rFonts w:eastAsia="仿宋"/>
          <w:kern w:val="0"/>
          <w:sz w:val="32"/>
          <w:szCs w:val="32"/>
          <w:highlight w:val="none"/>
        </w:rPr>
      </w:pPr>
    </w:p>
    <w:p>
      <w:pPr>
        <w:spacing w:line="576" w:lineRule="exact"/>
        <w:rPr>
          <w:rStyle w:val="11"/>
          <w:rFonts w:eastAsia="仿宋"/>
          <w:kern w:val="0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snapToGrid w:val="0"/>
        <w:jc w:val="left"/>
        <w:rPr>
          <w:rStyle w:val="11"/>
          <w:rFonts w:eastAsia="方正仿宋简体" w:cs="Times New Roman"/>
          <w:bCs/>
          <w:sz w:val="28"/>
          <w:szCs w:val="28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E587A4C-0A1C-4474-B6A2-5062C10CC5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99509"/>
    <w:multiLevelType w:val="singleLevel"/>
    <w:tmpl w:val="7CC99509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5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Y2VhZDEyZDdmYjU0M2Y4OTc5MGQwYWJmNmNiOWEifQ=="/>
    <w:docVar w:name="KSO_WPS_MARK_KEY" w:val="13ec63d7-1f7a-4b57-ba80-f3f65a78c69e"/>
  </w:docVars>
  <w:rsids>
    <w:rsidRoot w:val="005E543E"/>
    <w:rsid w:val="000125BE"/>
    <w:rsid w:val="00033D3D"/>
    <w:rsid w:val="000C434E"/>
    <w:rsid w:val="002E1724"/>
    <w:rsid w:val="002E6B10"/>
    <w:rsid w:val="005224EF"/>
    <w:rsid w:val="005E543E"/>
    <w:rsid w:val="00626B49"/>
    <w:rsid w:val="008311DB"/>
    <w:rsid w:val="00BC2144"/>
    <w:rsid w:val="00D03026"/>
    <w:rsid w:val="00D837F6"/>
    <w:rsid w:val="00DE7B97"/>
    <w:rsid w:val="00E4530E"/>
    <w:rsid w:val="00E95E94"/>
    <w:rsid w:val="00F71D24"/>
    <w:rsid w:val="013B2B96"/>
    <w:rsid w:val="019E4ED3"/>
    <w:rsid w:val="01A3073B"/>
    <w:rsid w:val="01CA7EC6"/>
    <w:rsid w:val="01D852B3"/>
    <w:rsid w:val="023C4E17"/>
    <w:rsid w:val="02A97925"/>
    <w:rsid w:val="02D212D8"/>
    <w:rsid w:val="031713E0"/>
    <w:rsid w:val="0328539C"/>
    <w:rsid w:val="03601F9E"/>
    <w:rsid w:val="03A367D0"/>
    <w:rsid w:val="03F05037"/>
    <w:rsid w:val="042E3A1F"/>
    <w:rsid w:val="04735148"/>
    <w:rsid w:val="047E0C28"/>
    <w:rsid w:val="049F51EA"/>
    <w:rsid w:val="04E754C6"/>
    <w:rsid w:val="05885E20"/>
    <w:rsid w:val="058969A8"/>
    <w:rsid w:val="05D610DF"/>
    <w:rsid w:val="05E53182"/>
    <w:rsid w:val="05F11A75"/>
    <w:rsid w:val="06744454"/>
    <w:rsid w:val="079D243D"/>
    <w:rsid w:val="08EE04EE"/>
    <w:rsid w:val="09300B06"/>
    <w:rsid w:val="09540161"/>
    <w:rsid w:val="098350DA"/>
    <w:rsid w:val="0A670558"/>
    <w:rsid w:val="0AF3628F"/>
    <w:rsid w:val="0B9D40CA"/>
    <w:rsid w:val="0BA336C9"/>
    <w:rsid w:val="0BE37CA1"/>
    <w:rsid w:val="0CDE3B3A"/>
    <w:rsid w:val="0D765ADE"/>
    <w:rsid w:val="0DCD2DC7"/>
    <w:rsid w:val="0E4312DC"/>
    <w:rsid w:val="0E5C414B"/>
    <w:rsid w:val="0E7B6CC7"/>
    <w:rsid w:val="0ECC0B91"/>
    <w:rsid w:val="0F5F3600"/>
    <w:rsid w:val="0FE32D76"/>
    <w:rsid w:val="10156CA8"/>
    <w:rsid w:val="102562A6"/>
    <w:rsid w:val="102C1B2C"/>
    <w:rsid w:val="10622832"/>
    <w:rsid w:val="107C0AD5"/>
    <w:rsid w:val="10A32505"/>
    <w:rsid w:val="10CD1330"/>
    <w:rsid w:val="112F3D99"/>
    <w:rsid w:val="112F78F5"/>
    <w:rsid w:val="115E01DA"/>
    <w:rsid w:val="117D2D56"/>
    <w:rsid w:val="1209283C"/>
    <w:rsid w:val="13622204"/>
    <w:rsid w:val="13F76DF0"/>
    <w:rsid w:val="141C5F0E"/>
    <w:rsid w:val="14215C1B"/>
    <w:rsid w:val="143847F5"/>
    <w:rsid w:val="14587163"/>
    <w:rsid w:val="151439D2"/>
    <w:rsid w:val="15E74C42"/>
    <w:rsid w:val="162A6DCA"/>
    <w:rsid w:val="16BD380F"/>
    <w:rsid w:val="16E15B36"/>
    <w:rsid w:val="17C25929"/>
    <w:rsid w:val="17D205F6"/>
    <w:rsid w:val="17EE22B8"/>
    <w:rsid w:val="182201B4"/>
    <w:rsid w:val="186E33F9"/>
    <w:rsid w:val="18E83DC5"/>
    <w:rsid w:val="1A7F5449"/>
    <w:rsid w:val="1B4D19EC"/>
    <w:rsid w:val="1B6D5BEA"/>
    <w:rsid w:val="1BFB31F6"/>
    <w:rsid w:val="1C295FB5"/>
    <w:rsid w:val="1CE617B0"/>
    <w:rsid w:val="1DF952B2"/>
    <w:rsid w:val="1E911BEF"/>
    <w:rsid w:val="1EEE7042"/>
    <w:rsid w:val="1F040613"/>
    <w:rsid w:val="1F69223D"/>
    <w:rsid w:val="1FC35DD8"/>
    <w:rsid w:val="1FC463C0"/>
    <w:rsid w:val="20B16579"/>
    <w:rsid w:val="20D329E7"/>
    <w:rsid w:val="20DD55C0"/>
    <w:rsid w:val="20F4571D"/>
    <w:rsid w:val="21C347B6"/>
    <w:rsid w:val="22A53EBB"/>
    <w:rsid w:val="22DB78DD"/>
    <w:rsid w:val="22E42C35"/>
    <w:rsid w:val="232272BA"/>
    <w:rsid w:val="232C0139"/>
    <w:rsid w:val="24803136"/>
    <w:rsid w:val="248823DA"/>
    <w:rsid w:val="255D0A7D"/>
    <w:rsid w:val="25691BA9"/>
    <w:rsid w:val="257A2699"/>
    <w:rsid w:val="263E5A5A"/>
    <w:rsid w:val="26BE7ADF"/>
    <w:rsid w:val="26F36924"/>
    <w:rsid w:val="273F48DE"/>
    <w:rsid w:val="280B656E"/>
    <w:rsid w:val="2916341D"/>
    <w:rsid w:val="2A3653B0"/>
    <w:rsid w:val="2A7D74CC"/>
    <w:rsid w:val="2AC5243A"/>
    <w:rsid w:val="2BA710DB"/>
    <w:rsid w:val="2BEA1327"/>
    <w:rsid w:val="2C0C6D59"/>
    <w:rsid w:val="2C22657D"/>
    <w:rsid w:val="2C33078A"/>
    <w:rsid w:val="2C4702D7"/>
    <w:rsid w:val="2C55425C"/>
    <w:rsid w:val="2CB27900"/>
    <w:rsid w:val="2D145EC5"/>
    <w:rsid w:val="2DD438A6"/>
    <w:rsid w:val="2E341F8D"/>
    <w:rsid w:val="2E3507E9"/>
    <w:rsid w:val="2E453407"/>
    <w:rsid w:val="2E474078"/>
    <w:rsid w:val="2E5F7614"/>
    <w:rsid w:val="2ECA1463"/>
    <w:rsid w:val="2EE45D6B"/>
    <w:rsid w:val="2F3A3BDD"/>
    <w:rsid w:val="2FE405F2"/>
    <w:rsid w:val="30216531"/>
    <w:rsid w:val="30B04AF9"/>
    <w:rsid w:val="315C108A"/>
    <w:rsid w:val="318A0E4C"/>
    <w:rsid w:val="31C14142"/>
    <w:rsid w:val="32163089"/>
    <w:rsid w:val="3227669B"/>
    <w:rsid w:val="32326DEE"/>
    <w:rsid w:val="329D5A3A"/>
    <w:rsid w:val="32A36868"/>
    <w:rsid w:val="33DE722D"/>
    <w:rsid w:val="341B3FDD"/>
    <w:rsid w:val="3434711E"/>
    <w:rsid w:val="34A83397"/>
    <w:rsid w:val="35A85D44"/>
    <w:rsid w:val="35B26D29"/>
    <w:rsid w:val="365B6913"/>
    <w:rsid w:val="366A5217"/>
    <w:rsid w:val="36C22E36"/>
    <w:rsid w:val="374E0226"/>
    <w:rsid w:val="37887BDC"/>
    <w:rsid w:val="37A20571"/>
    <w:rsid w:val="38961E84"/>
    <w:rsid w:val="38AD2F94"/>
    <w:rsid w:val="390F7E89"/>
    <w:rsid w:val="3A013C75"/>
    <w:rsid w:val="3AF410E4"/>
    <w:rsid w:val="3BD66A3C"/>
    <w:rsid w:val="3BE15B0C"/>
    <w:rsid w:val="3BF375EE"/>
    <w:rsid w:val="3C6109FB"/>
    <w:rsid w:val="3CB46D7D"/>
    <w:rsid w:val="3CC03974"/>
    <w:rsid w:val="3DA6700D"/>
    <w:rsid w:val="3E2B71A8"/>
    <w:rsid w:val="3E6D3687"/>
    <w:rsid w:val="3E93508D"/>
    <w:rsid w:val="3E9440B9"/>
    <w:rsid w:val="3E9B10B7"/>
    <w:rsid w:val="3EEB27FE"/>
    <w:rsid w:val="3FC336E3"/>
    <w:rsid w:val="41597EF3"/>
    <w:rsid w:val="418F1252"/>
    <w:rsid w:val="41F61BE6"/>
    <w:rsid w:val="421E3A51"/>
    <w:rsid w:val="4302703A"/>
    <w:rsid w:val="43084755"/>
    <w:rsid w:val="43FD54AD"/>
    <w:rsid w:val="442B201A"/>
    <w:rsid w:val="44FA7C3F"/>
    <w:rsid w:val="4574179F"/>
    <w:rsid w:val="46103E17"/>
    <w:rsid w:val="481334F1"/>
    <w:rsid w:val="48531B40"/>
    <w:rsid w:val="48965ED0"/>
    <w:rsid w:val="48C32A69"/>
    <w:rsid w:val="49B54134"/>
    <w:rsid w:val="49FE1F7F"/>
    <w:rsid w:val="4A5D4EF8"/>
    <w:rsid w:val="4C405A5D"/>
    <w:rsid w:val="4CA23096"/>
    <w:rsid w:val="4CC146C7"/>
    <w:rsid w:val="4CF338F1"/>
    <w:rsid w:val="4DBB33F7"/>
    <w:rsid w:val="4F50502B"/>
    <w:rsid w:val="4F6C798B"/>
    <w:rsid w:val="4F891A5E"/>
    <w:rsid w:val="4FB8497E"/>
    <w:rsid w:val="50304B17"/>
    <w:rsid w:val="505521CD"/>
    <w:rsid w:val="506F14E1"/>
    <w:rsid w:val="50C11611"/>
    <w:rsid w:val="51705511"/>
    <w:rsid w:val="519D207E"/>
    <w:rsid w:val="51C753A7"/>
    <w:rsid w:val="52173BDE"/>
    <w:rsid w:val="52707792"/>
    <w:rsid w:val="527821A3"/>
    <w:rsid w:val="53397B84"/>
    <w:rsid w:val="545F186C"/>
    <w:rsid w:val="547664B3"/>
    <w:rsid w:val="55197C6D"/>
    <w:rsid w:val="55931BFF"/>
    <w:rsid w:val="56333137"/>
    <w:rsid w:val="566E649D"/>
    <w:rsid w:val="57034731"/>
    <w:rsid w:val="578A30A4"/>
    <w:rsid w:val="57B41ECF"/>
    <w:rsid w:val="583D1EC5"/>
    <w:rsid w:val="58D81BED"/>
    <w:rsid w:val="58F41921"/>
    <w:rsid w:val="59167CB3"/>
    <w:rsid w:val="598D4786"/>
    <w:rsid w:val="59D61317"/>
    <w:rsid w:val="5A250E62"/>
    <w:rsid w:val="5ADF3707"/>
    <w:rsid w:val="5BF40AEC"/>
    <w:rsid w:val="5C643EC4"/>
    <w:rsid w:val="5C702869"/>
    <w:rsid w:val="5CB00EB7"/>
    <w:rsid w:val="5DB1138B"/>
    <w:rsid w:val="5E587A58"/>
    <w:rsid w:val="5FD01870"/>
    <w:rsid w:val="5FFC08B7"/>
    <w:rsid w:val="60A56859"/>
    <w:rsid w:val="60EB659A"/>
    <w:rsid w:val="60EC092C"/>
    <w:rsid w:val="615564D1"/>
    <w:rsid w:val="615B135F"/>
    <w:rsid w:val="625B0904"/>
    <w:rsid w:val="627666FF"/>
    <w:rsid w:val="6291224D"/>
    <w:rsid w:val="633A3BD0"/>
    <w:rsid w:val="636447A9"/>
    <w:rsid w:val="64460353"/>
    <w:rsid w:val="645667E8"/>
    <w:rsid w:val="64AD03D2"/>
    <w:rsid w:val="64C23E7D"/>
    <w:rsid w:val="64CA2D32"/>
    <w:rsid w:val="64D03A8C"/>
    <w:rsid w:val="64EF2799"/>
    <w:rsid w:val="653528A1"/>
    <w:rsid w:val="65363F24"/>
    <w:rsid w:val="654D7C2E"/>
    <w:rsid w:val="65B25CA0"/>
    <w:rsid w:val="65B30B92"/>
    <w:rsid w:val="65BA6C2A"/>
    <w:rsid w:val="661204ED"/>
    <w:rsid w:val="663C1A0D"/>
    <w:rsid w:val="66510E28"/>
    <w:rsid w:val="6660394E"/>
    <w:rsid w:val="66D52856"/>
    <w:rsid w:val="67A61C6C"/>
    <w:rsid w:val="67EB36EB"/>
    <w:rsid w:val="682269E1"/>
    <w:rsid w:val="685E30C9"/>
    <w:rsid w:val="686B482C"/>
    <w:rsid w:val="688F22C8"/>
    <w:rsid w:val="689D67DA"/>
    <w:rsid w:val="69196036"/>
    <w:rsid w:val="69603E7D"/>
    <w:rsid w:val="697B284D"/>
    <w:rsid w:val="6A250FC2"/>
    <w:rsid w:val="6AF208ED"/>
    <w:rsid w:val="6AF61DA3"/>
    <w:rsid w:val="6B8950E5"/>
    <w:rsid w:val="6BAD758E"/>
    <w:rsid w:val="6BD83F86"/>
    <w:rsid w:val="6C3A6F8D"/>
    <w:rsid w:val="6C4C04D0"/>
    <w:rsid w:val="6CDE381E"/>
    <w:rsid w:val="6CFE7A1D"/>
    <w:rsid w:val="6D1E3C1B"/>
    <w:rsid w:val="6D3A7AE0"/>
    <w:rsid w:val="6D4318D3"/>
    <w:rsid w:val="6D464F20"/>
    <w:rsid w:val="6D89208F"/>
    <w:rsid w:val="6DA00AD4"/>
    <w:rsid w:val="6DC72505"/>
    <w:rsid w:val="6DD62748"/>
    <w:rsid w:val="6E3A2CD6"/>
    <w:rsid w:val="6EC66318"/>
    <w:rsid w:val="6F810D2B"/>
    <w:rsid w:val="6FEF189F"/>
    <w:rsid w:val="70027824"/>
    <w:rsid w:val="70390D6C"/>
    <w:rsid w:val="726F4328"/>
    <w:rsid w:val="74F17A4A"/>
    <w:rsid w:val="75461F61"/>
    <w:rsid w:val="75491A51"/>
    <w:rsid w:val="75D2692C"/>
    <w:rsid w:val="75F0011F"/>
    <w:rsid w:val="7630676D"/>
    <w:rsid w:val="769A6A08"/>
    <w:rsid w:val="777019DD"/>
    <w:rsid w:val="77CE623E"/>
    <w:rsid w:val="77DF669D"/>
    <w:rsid w:val="78287038"/>
    <w:rsid w:val="7866291A"/>
    <w:rsid w:val="79420C91"/>
    <w:rsid w:val="79507852"/>
    <w:rsid w:val="79627585"/>
    <w:rsid w:val="79710481"/>
    <w:rsid w:val="79C4338D"/>
    <w:rsid w:val="7AA15E8B"/>
    <w:rsid w:val="7AB37421"/>
    <w:rsid w:val="7B0A1C83"/>
    <w:rsid w:val="7B4C5DF7"/>
    <w:rsid w:val="7B4F58E7"/>
    <w:rsid w:val="7B711D02"/>
    <w:rsid w:val="7BCB4060"/>
    <w:rsid w:val="7C0861C2"/>
    <w:rsid w:val="7C8021FC"/>
    <w:rsid w:val="7CED167C"/>
    <w:rsid w:val="7D252DA4"/>
    <w:rsid w:val="7D5E1E12"/>
    <w:rsid w:val="7D711B45"/>
    <w:rsid w:val="7D7B29C4"/>
    <w:rsid w:val="7DDF73F6"/>
    <w:rsid w:val="7E357016"/>
    <w:rsid w:val="7EE06F82"/>
    <w:rsid w:val="7F3040A4"/>
    <w:rsid w:val="7F58120E"/>
    <w:rsid w:val="7F842003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link w:val="18"/>
    <w:qFormat/>
    <w:uiPriority w:val="0"/>
    <w:pPr>
      <w:widowControl w:val="0"/>
      <w:textAlignment w:val="auto"/>
    </w:pPr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11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basedOn w:val="11"/>
    <w:link w:val="14"/>
    <w:qFormat/>
    <w:uiPriority w:val="0"/>
    <w:rPr>
      <w:kern w:val="2"/>
      <w:sz w:val="18"/>
      <w:szCs w:val="18"/>
    </w:rPr>
  </w:style>
  <w:style w:type="paragraph" w:customStyle="1" w:styleId="14">
    <w:name w:val="Acetate"/>
    <w:basedOn w:val="1"/>
    <w:link w:val="13"/>
    <w:qFormat/>
    <w:uiPriority w:val="0"/>
    <w:rPr>
      <w:sz w:val="18"/>
      <w:szCs w:val="18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7">
    <w:name w:val="TableGrid"/>
    <w:basedOn w:val="12"/>
    <w:qFormat/>
    <w:uiPriority w:val="0"/>
  </w:style>
  <w:style w:type="character" w:customStyle="1" w:styleId="18">
    <w:name w:val="纯文本 字符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9">
    <w:name w:val="正文文本1"/>
    <w:basedOn w:val="1"/>
    <w:qFormat/>
    <w:uiPriority w:val="0"/>
    <w:pPr>
      <w:widowControl w:val="0"/>
      <w:spacing w:after="60"/>
      <w:ind w:firstLine="260"/>
    </w:pPr>
    <w:rPr>
      <w:rFonts w:ascii="宋体" w:hAnsi="宋体" w:cs="宋体"/>
      <w:sz w:val="28"/>
      <w:szCs w:val="28"/>
      <w:lang w:val="zh-CN" w:bidi="zh-CN"/>
    </w:rPr>
  </w:style>
  <w:style w:type="paragraph" w:customStyle="1" w:styleId="20">
    <w:name w:val="其他"/>
    <w:basedOn w:val="1"/>
    <w:qFormat/>
    <w:uiPriority w:val="0"/>
    <w:pPr>
      <w:widowControl w:val="0"/>
      <w:spacing w:after="60"/>
      <w:ind w:firstLine="260"/>
    </w:pPr>
    <w:rPr>
      <w:rFonts w:ascii="宋体" w:hAnsi="宋体" w:cs="宋体"/>
      <w:sz w:val="28"/>
      <w:szCs w:val="28"/>
      <w:lang w:val="zh-CN" w:bidi="zh-CN"/>
    </w:rPr>
  </w:style>
  <w:style w:type="paragraph" w:customStyle="1" w:styleId="21">
    <w:name w:val="表格标题"/>
    <w:basedOn w:val="1"/>
    <w:qFormat/>
    <w:uiPriority w:val="0"/>
    <w:pPr>
      <w:widowControl w:val="0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1606</Words>
  <Characters>1639</Characters>
  <Lines>17</Lines>
  <Paragraphs>4</Paragraphs>
  <TotalTime>15</TotalTime>
  <ScaleCrop>false</ScaleCrop>
  <LinksUpToDate>false</LinksUpToDate>
  <CharactersWithSpaces>1781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2025-04-21T03:32:00Z</dcterms:created>
  <dc:creator>Administrator</dc:creator>
  <cp:lastModifiedBy>王琳</cp:lastModifiedBy>
  <cp:lastPrinted>2025-04-22T01:22:00Z</cp:lastPrinted>
  <dcterms:modified xsi:type="dcterms:W3CDTF">2025-04-23T01:43:11Z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B0CAB610A09342D487FFBF7237DAC70F_13</vt:lpwstr>
  </property>
  <property fmtid="{D5CDD505-2E9C-101B-9397-08002B2CF9AE}" pid="4" name="KSOTemplateDocerSaveRecord">
    <vt:lpwstr>eyJoZGlkIjoiY2Q2NWQ3YjY0Mjg5NmFlYWY3Y2RhNzgzMDdkMGM0YTIiLCJ1c2VySWQiOiI4MjIzNjAxOTgifQ==</vt:lpwstr>
  </property>
</Properties>
</file>